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9c052e020e041b2"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51142</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Knjižnica Mihaela Šiloboda Sveta Nedelja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XII 2025.</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251.494,75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298.597,10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163.775,45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229.418,88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87.719,30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69.178,22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78,9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84.632,72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87.221,27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84.632,72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87.221,27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18.043,05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Ukupni prihodi Knjižnice M. Šiloboda Sveta Nedelja ostvareni u razdoblju od 1. siječnja od 31. prosinca 2025. godine iznosili su 298.597,10 €, odnosno 18,7% ili 47.102,35 € više nego prethodne 2024. godine. Na rast prihoda poslovanja u promatranom razdoblju najvećim je dijelom utjecalo povećanje prihoda iz nadležnog proračuna za financiranje redovne djelatnosti, prihoda od pruženih usluga te prihoda od pomoći. Ukupni rashodi su iznosili 316.640,15 € što je za 27,5% ili 68.231,98 € više rashoda nego prošle godine. Rashodi poslovanja su rasli, a na to su utjecali povećanje rashoda za plaće zaposlenika, zatim ostalih rashoda za zaposlene, doprinosa na plaće, rashoda za materijal i energiju, rashoda za usluge te ostalih nespomenutih rashoda poslovanja i ostalih financijskih rashoda, dok su se rashodi za nabavu nefinancijske imovine uvećali za 3,1% zbog uvećanih rashoda za knjižnu građu i nabavu namještaja i opreme, što dovodi do uvećanja ukupnih rashoda u promatranom razdoblju. Ostvaren je manjak prihoda u iznosu od 18.043,05 €. Višak prihoda iz prethodnog razdoblja iznosi 6.722,46 €, tako da se u sljedeće razdoblje prenosi manjak u iznosu od 11.320,59 €.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251.494,75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298.597,10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118,7</w:t>
            </w:r>
          </w:p>
        </w:tc>
      </w:tr>
    </w:tbl>
    <w:p>
      <w:pPr>
        <w:spacing w:before="0" w:after="0"/>
      </w:pPr>
    </w:p>
    <w:p>
      <w:r>
        <w:t xml:space="preserve">Prihodi poslovanja Knjižnice Mihaela Šiloboda Sveta Nedelja ostvareni u razdoblju od 1. siječnja do 31. prosinca 2025. godine iznosili su 298.597,10 €, odnosno 18,7% ili 47.102,35 € više nego prethodne 2024. godine. Na rast prihoda poslovanja u promatranom razdoblju najvećim je dijelom utjecalo povećanje prihoda iz nadležnog proračuna za financiranje redovne djelatnosti, prihoda od pruženih usluga te prihoda od pomoći.</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proračunskim korisnicima iz proračuna koji im nije nadležan (šifre 6361+6362)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44.374,00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46.560,00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104,9</w:t>
            </w:r>
          </w:p>
        </w:tc>
      </w:tr>
    </w:tbl>
    <w:p>
      <w:pPr>
        <w:spacing w:before="0" w:after="0"/>
      </w:pPr>
    </w:p>
    <w:p>
      <w:r>
        <w:t xml:space="preserve">Prihodi od pomoći u razdoblju od 1. siječnja do 31. prosinca 2025. godine ostvareni su u iznosu od 46.560,00 €, odnosno 4,9% ili  2.186,00 € više u odnosu na prihode od pomoći ostvarene u istom razdoblju 2024. godine. Na rast prihoda od pomoći u promatranom razdoblju je utjecalo uvećanje prihoda od kapitalnih pomoći iz državnog proračuna proračunskim korisnicima JLP(R)S te rast kapitalnih pomoći proračunskim korisnicima iz proračuna JLP(R)S koji im nije nadležan.</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(šifre 6614+6615)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6.998,80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7.735,60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w:t>
            </w:r>
          </w:p>
        </w:tc>
      </w:tr>
    </w:tbl>
    <w:p>
      <w:pPr>
        <w:spacing w:before="0" w:after="0"/>
      </w:pPr>
    </w:p>
    <w:p>
      <w:r>
        <w:t xml:space="preserve">Prihodi od prodaje proizvoda i robe te pruženih usluga u razdoblju od 1. siječnja do 31. prosinca 2025. godine ostvareni su u iznosu od 7.735,60 €, odnosno 10,5% više u odnosu na iste prihode ostvarene u promatranom razdoblju 2024. godine. Na rast prihoda od prodaje proizvoda i robe te pruženih usluga utjecalo je uvećanje prihoda od pruženih usluga.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redovne djelatnosti proračunskih korisnika (šifre 6711 do 6714)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200.121,95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244.301,50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122,1</w:t>
            </w:r>
          </w:p>
        </w:tc>
      </w:tr>
    </w:tbl>
    <w:p>
      <w:pPr>
        <w:spacing w:before="0" w:after="0"/>
      </w:pPr>
    </w:p>
    <w:p>
      <w:r>
        <w:t xml:space="preserve">Prihodi iz nadležnog proračuna za financiranje redovne djelatnosti proračunskih korisnika u razdoblju od 1. siječnja do 31. prosinca 2025. godine ostvareni su u iznosu od 244.301,50 €, odnosno 22,1% više u odnosu na iste prihode ostvarene u promatranom razdoblju 2024. godine. Na rast prihoda iz nadležnog proračuna za financiranje redovne djelatnosti proračunskih korisnika najviše je utjecalo uvećanje prihoda iz nadležnog proračuna, odnosno Grada Sveta Nedelja, za financiranje rashoda poslovanja (plaće i doprinosi za zaposlenike, ostali troškovi za redovno poslovanje) koji su ostvareni za 27,4%, odnosno 43.765,15 € više u odnosu na ostvarenje u istom razdoblju 2024. godine, dok su prihodi iz nadležnog proračuna za financiranje rashoda za nabavu nefinancijske imovine ostvareni za 1% ili  414,4 € više nego 2024. godine.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163.775,45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229.418,88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140,1</w:t>
            </w:r>
          </w:p>
        </w:tc>
      </w:tr>
    </w:tbl>
    <w:p>
      <w:pPr>
        <w:spacing w:before="0" w:after="0"/>
      </w:pPr>
    </w:p>
    <w:p>
      <w:r>
        <w:t xml:space="preserve">Rashodi poslovanja Knjižnice M. Šiloboda Sveta Nedelja ostvareni u razdoblju od 1. siječnja od 31. prosinca 2025. godine iznose 229.418,88 €, odnosno 40,1% ili 65.643,43 € više nego prethodne 2024. godine. Na rast rashoda poslovanja je najviše utjecalo povećanje rashoda za plaće zaposlenika, zatim ostalih rashoda za zaposlene, doprinosa na plaće, rashoda za materijal i energiju, rashoda za usluge te ostalih nespomenutih rashoda poslovanja i ostalih financijskih rashoda.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(bruto) (šifre 3111 do 3114)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98.946,81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147.980,92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149,6</w:t>
            </w:r>
          </w:p>
        </w:tc>
      </w:tr>
    </w:tbl>
    <w:p>
      <w:pPr>
        <w:spacing w:before="0" w:after="0"/>
      </w:pPr>
    </w:p>
    <w:p>
      <w:r>
        <w:t xml:space="preserve">Rashodi za plaće zaposlenika u razdoblju od 1. siječnja do 31. prosinca 2025. godine ostvareni su u iznosu od 147.980,92 €, odnosno 49,6% ili  49.034,11 € više u odnosu na rashode za plaće ostvarene u istom razdoblju 2024. godine. Na rast u promatranom razdoblju najvećim je dijelom utjecalo uvećanje rashoda za plaće za redovan rad koji su ostvareni za 49,7% ili 48.236,77 €, više nego prethodne 2024. godine, odnosno povećanje osnovice za izračun plaće, kao i povećanje rashoda za plaće za prekovremeni rad za 42,1% ili 797,34 €.</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12.260,50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13.450,50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109,7</w:t>
            </w:r>
          </w:p>
        </w:tc>
      </w:tr>
    </w:tbl>
    <w:p>
      <w:pPr>
        <w:spacing w:before="0" w:after="0"/>
      </w:pPr>
    </w:p>
    <w:p>
      <w:r>
        <w:t xml:space="preserve">Ostali rashodi za zaposlene u razdoblju od 1. siječnja do 31. prosinca 2025. godine ostvareni su u iznosu od 13.450,50 €, odnosno 9,7% ili 1.190,00 € više u odnosu na ostale rashode za zaposlene ostvarene u istom razdoblju 2024. godine. Na rast u promatranom razdoblju je utjecalo uvećanje ostalih nenavedenih rashoda za zaposlene, nagrade i darovi.</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na plaće (šifre 3131 do 3133)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16.326,26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24.416,83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149,6</w:t>
            </w:r>
          </w:p>
        </w:tc>
      </w:tr>
    </w:tbl>
    <w:p>
      <w:pPr>
        <w:spacing w:before="0" w:after="0"/>
      </w:pPr>
    </w:p>
    <w:p>
      <w:r>
        <w:t xml:space="preserve">Doprinosi na plaće u razdoblju od 1. siječnja do 31. prosinca 2025. godine ostvareni su u iznosu od 24.416,83 €, odnosno 49,6% ili 8.090,57 € više u odnosu na doprinose ostvarene u istom razdoblju 2024. godine. Na rast u promatranom razdoblju je utjecalo uvećanje doprinosa za obvezno zdravstveno osiguranje.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3.200,38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3.137,54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98,0</w:t>
            </w:r>
          </w:p>
        </w:tc>
      </w:tr>
    </w:tbl>
    <w:p>
      <w:pPr>
        <w:spacing w:before="0" w:after="0"/>
      </w:pPr>
    </w:p>
    <w:p>
      <w:r>
        <w:t xml:space="preserve">Rashodi za naknade troškova zaposlenima u razdoblju od 1. siječnja do 31. prosinca 2025. godine ostvareni su u iznosu od 3.137,54 €, odnosno 2% ili 62,84 € manje u odnosu na istoimene rashode za zaposlene ostvarene u istom razdoblju 2024. godine. Na pad u promatranom razdoblju je utjecalo umanjenje rashoda za naknade za prijevoz, za rad na terenu i odvojeni život.</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3.443,50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6.005,20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174,4</w:t>
            </w:r>
          </w:p>
        </w:tc>
      </w:tr>
    </w:tbl>
    <w:p>
      <w:pPr>
        <w:spacing w:before="0" w:after="0"/>
      </w:pPr>
    </w:p>
    <w:p>
      <w:r>
        <w:t xml:space="preserve">Rashodi za materijal i energiju u razdoblju od 1. siječnja do 31. prosinca 2025. godine ostvareni su u iznosu od 6.005,20 €, odnosno 74,4% ili 2.561,70 € više u odnosu na iste rashode ostvarene u promatranom razdoblju 2024. godine. Na rast rashoda za materijal i energiju utjecalo je uvećanje rashoda za uredski materijal i ostali materijalni rashodi (materijal za potrebe redovnog poslovanja, higijenske potrebe i njegu, literatura) koji su ostvareni za 76,8%, odnosno  2.588,02 € više u odnosu na ostvarenje u istom razdoblju 2024. godine, dok su rashodi za materijal i dijelove za tekuće i investicijsko održavanje ostvareni za 34,8 % ili 26,32 € manje nego prethodne 2024. godine.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28.697,91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33.114,76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115,4</w:t>
            </w:r>
          </w:p>
        </w:tc>
      </w:tr>
    </w:tbl>
    <w:p>
      <w:pPr>
        <w:spacing w:before="0" w:after="0"/>
      </w:pPr>
    </w:p>
    <w:p>
      <w:r>
        <w:t xml:space="preserve">Rashodi za usluge u razdoblju od 1. siječnja do 31. prosinca 2025. godine ostvareni su u iznosu od 33.114,76 €, odnosno 15,4% ili 4.416,85 € više u odnosu na iste rashode ostvarene u promatranom razdoblju 2024. godine. Na rast rashoda za usluge utjecalo je uvećanje rashoda za zakupnine i najamnine za 3,3% u odnosu na prethodnu godinu, zatim porast rashoda za intelektualne i osobne usluge za 14,1% te porast rashoda za ostale usluge  za 44,7%. Rashodi za usluge telefona i poštarine, usluga tekućeg i investicijskog održavanja te računalne usluge bilježe pad u odnosu na isto razdoblje prethodne godine.</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511,59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141,3</w:t>
            </w:r>
          </w:p>
        </w:tc>
      </w:tr>
    </w:tbl>
    <w:p>
      <w:pPr>
        <w:spacing w:before="0" w:after="0"/>
      </w:pPr>
    </w:p>
    <w:p>
      <w:r>
        <w:t xml:space="preserve">Ostali nespomenuti rashodi poslovanja u razdoblju od 1. siječnja do 31. prosinca 2025. godine ostvareni su u iznosu od 511,59 €, odnosno 41,3% više u odnosu na iste rashode ostvarene u promatranom razdoblju 2024. godine. Na rast tih rashoda je utjecalo uvećanje rashoda za pristojbe i naknade dok rashodi za reprezentaciju bilježe pad u odnosu na prethodnu godinu.</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financijski rashodi (šifre 3431 do 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537,98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544,06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101,1</w:t>
            </w:r>
          </w:p>
        </w:tc>
      </w:tr>
    </w:tbl>
    <w:p>
      <w:pPr>
        <w:spacing w:before="0" w:after="0"/>
      </w:pPr>
    </w:p>
    <w:p>
      <w:r>
        <w:t xml:space="preserve">Ostali financijski rashodi u razdoblju od 1. siječnja do 31. prosinca 2025. godine ostvareni su u iznosu od 544,06 €, odnosno 1,1% više u odnosu na iste rashode ostvarene u promatranom razdoblju 2024. godine. Na rast tih rashoda najviše  je utjecalo uvećanje rashoda za bankarske usluge i usluge platnog prometa.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naknade građanima i kućanstvima iz proračuna (šifre 3721 do 3723)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257,48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Ostale naknade građanima i kućanstvima iz proračuna u razdoblju od 1. siječnja do 31. prosinca 2025. godine ostvareni su u iznosu od 257,48 €, te nisu zabilježeni prethodne 2024. godine, a odnose se na naknade građanima i kućanstvima u novcu.</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84.632,72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87.221,27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103,1</w:t>
            </w:r>
          </w:p>
        </w:tc>
      </w:tr>
    </w:tbl>
    <w:p>
      <w:pPr>
        <w:spacing w:before="0" w:after="0"/>
      </w:pPr>
    </w:p>
    <w:p>
      <w:r>
        <w:t xml:space="preserve">Rashodi za nabavu nefinancijske imovine u razdoblju od 1. siječnja do 31. prosinca 2025. godine ostvareni su u iznosu od 87.221,27 €, odnosno 3,1% ili  2.588,55 € više u odnosu na iste rashode ostvarene u promatranom razdoblju 2024. godine. Odnose se na rashode na nabavu proizvedene dugotrajne imovine.</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Postrojenja i oprema (šifre 4221 do 4228)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5.369,00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5.716,12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106,5</w:t>
            </w:r>
          </w:p>
        </w:tc>
      </w:tr>
    </w:tbl>
    <w:p>
      <w:pPr>
        <w:spacing w:before="0" w:after="0"/>
      </w:pPr>
    </w:p>
    <w:p>
      <w:r>
        <w:t xml:space="preserve">Rashodi za uredsku opremu i namještaj od 1. siječnja do 31. prosinca 2025. godine ostvareni su u iznosu od 5.716,12 €, odnosno 6,5% ili  347,12 € više u odnosu na iste rashode ostvarene u promatranom razdoblju 2024. godine.</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umjetnička djela i ostale izložbene vrijednosti (šifre 4241 do 4244)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79.263,72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81.505,15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102,8</w:t>
            </w:r>
          </w:p>
        </w:tc>
      </w:tr>
    </w:tbl>
    <w:p>
      <w:pPr>
        <w:spacing w:before="0" w:after="0"/>
      </w:pPr>
    </w:p>
    <w:p>
      <w:r>
        <w:t xml:space="preserve">Rashodi za knjižnu građu od 1. siječnja do 31. prosinca 2025. godine ostvareni su u iznosu od 81.505,15 €, odnosno 2,8% ili 2.241,43 € više u odnosu na iste rashode ostvarene u promatranom razdoblju 2024. godine.</w:t>
      </w:r>
    </w:p>
    <w:p/>
    <w:p>
      <w:pPr>
        <w:jc w:val="center"/>
        <w:pStyle w:val="Normal"/>
        <w:spacing w:line="240" w:lineRule="auto"/>
        <w:keepNext/>
      </w:pPr>
      <w:r>
        <w:rPr>
          <w:b/>
          <w:sz w:val="28"/>
          <w:rFonts w:ascii="Times New Roman" w:hAnsi="Times New Roman"/>
        </w:rPr>
        <w:t xml:space="preserve">Bilanca</w:t>
      </w:r>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IMOVINA (šifre B002+1)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389.832,47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376.087,87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96,5</w:t>
            </w:r>
          </w:p>
        </w:tc>
      </w:tr>
    </w:tbl>
    <w:p>
      <w:pPr>
        <w:spacing w:before="0" w:after="0"/>
      </w:pPr>
    </w:p>
    <w:p>
      <w:r>
        <w:t xml:space="preserve">U izvještajnom razdoblju od 1. siječnja do 31. prosinca 2025. godine Gradska knjižnica Mihaela Šiloboda Sveta Nedjelja zabilježila je nefinancijsku imovinu u iznosu od 369.693,02 € kao i prethodne 2024. godine te financijsku imovinu u iznosu od 6.394,85 €, odnosno  68,1% ili 13.668,11 € manje nego 2024. godine. Ukupna imovina jednaka je obvezama te iznosi 376.087,87  €. Vlastiti izvori ostvareni su u iznosu od 358.372,43 € što je za 4,8% manje nego prošle godine. Višak prihoda poslovanja iznosi 160.533,40 €, dok manjak prihoda o nefinancijske imovine iznosi 171.853,99 €.</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Proizvedena dugotrajna imovina (šifre '021 i 02921' + '022 i 02922' + '023 i 02923' + '024 i 02924' + '025 i 02925' + '026 i 02926')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369.769,51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369.693,02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w:t>
            </w:r>
          </w:p>
        </w:tc>
      </w:tr>
    </w:tbl>
    <w:p>
      <w:pPr>
        <w:spacing w:before="0" w:after="0"/>
      </w:pPr>
    </w:p>
    <w:p>
      <w:r>
        <w:t xml:space="preserve">Proizvedena dugotrajna imovina u razdoblju od 01. siječnja do 31. prosinca 2025. godine zabilježena je u iznosu od 369.693,02 €  odnosno  jednaka je kao i prethodne 2024. godine, a  odnosi se na postrojenja i opremu te knjige, umjetnička djela i ostale izložbene vrijednosti.</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022 i 02922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Postrojenja i oprema (šifre 0221 do 0228 - 02922)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022 i 02922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114.996,38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100.755,08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87,6</w:t>
            </w:r>
          </w:p>
        </w:tc>
      </w:tr>
    </w:tbl>
    <w:p>
      <w:pPr>
        <w:spacing w:before="0" w:after="0"/>
      </w:pPr>
    </w:p>
    <w:p>
      <w:r>
        <w:t xml:space="preserve">Postrojenja i oprema zabilježeni su u iznosu od 100.755,08 €, što je 12,4% ili 14.241,30 € manje nego u 2024. godini.</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024 i 02924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umjetnička djela i ostale izložbene vrijednosti (šifre 0241 do 0244 - 02924)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024 i 02924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254.773,13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268.937,94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105,6</w:t>
            </w:r>
          </w:p>
        </w:tc>
      </w:tr>
    </w:tbl>
    <w:p>
      <w:pPr>
        <w:spacing w:before="0" w:after="0"/>
      </w:pPr>
    </w:p>
    <w:p>
      <w:r>
        <w:t xml:space="preserve">Knjige, umjetnička djela i ostale izložbene vrijednosti zabilježeni su u iznosu od 268.937,94 €, što je 5,6% ili 14.164,81 € više nego u 2024. godini.</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jamčevne pologe, od zaposlenih te za više plaćene poreze i ostalo (šifre 122 do 124 - 125 + 129)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448,52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351,23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78,3</w:t>
            </w:r>
          </w:p>
        </w:tc>
      </w:tr>
    </w:tbl>
    <w:p>
      <w:pPr>
        <w:spacing w:before="0" w:after="0"/>
      </w:pPr>
    </w:p>
    <w:p>
      <w:r>
        <w:t xml:space="preserve">Potraživanja za jamčevne pologe, od zaposlenih te za više plaćene poreze i ostalo u iznosu od 351,23 € manje je za 21,7% ili za 97,29 € nego prethodne 2024. godine; odnosi se na ostala potraživanja.</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Potraživanja za prihode poslovanja (šifre 161 do 163 + 164 do 168-169)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6.043,62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Potraživanja za prihode poslovanja ostvareni su u iznosu od 6.043,62 € te nisu zabilježeni u prethodnoj 2024. godini, a odnose se na potraživanja proračunskih korisnika za sredstva uplaćena u nadležni proračun i za prihode od HZZO-a na temelju ugovorenih obveza.</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 (šifre 231 do 234 + 235 + 236 + 237 do 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13.294,70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17.533,58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131,9</w:t>
            </w:r>
          </w:p>
        </w:tc>
      </w:tr>
    </w:tbl>
    <w:p>
      <w:pPr>
        <w:spacing w:before="0" w:after="0"/>
      </w:pPr>
    </w:p>
    <w:p>
      <w:r>
        <w:t xml:space="preserve">Obveze za rashode poslovanja ostvarene su u iznosu od 17.533,58 € što je 31,9% ili  4.238,88 € više nego prethodne godine. Odnose se na obveze za zaposlene ostvarene u iznosu od 16.474,53 €, odnosno 29,9% ili 3.795,63 € više nego 2024. godine te na obveze za materijalne rashode u iznosu od 1.059,05 €, odnosno 82,7% ili 479,26 € više nego prethodne godine.</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12.678,90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16.474,53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129,9</w:t>
            </w:r>
          </w:p>
        </w:tc>
      </w:tr>
    </w:tbl>
    <w:p>
      <w:pPr>
        <w:spacing w:before="0" w:after="0"/>
      </w:pPr>
    </w:p>
    <w:p>
      <w:r>
        <w:t xml:space="preserve">Obveze za zaposlene ostvarene su u iznosu od 16.474,53 €, odnosno 29,9% ili 3.795,63 € više nego 2024. godine</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materijalne rashode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579,79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1.059,05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182,7</w:t>
            </w:r>
          </w:p>
        </w:tc>
      </w:tr>
    </w:tbl>
    <w:p>
      <w:pPr>
        <w:spacing w:before="0" w:after="0"/>
      </w:pPr>
    </w:p>
    <w:p>
      <w:r>
        <w:t xml:space="preserve">Obveze za materijalne rashode  ostvarene su u iznosu od 1.059,05 €, odnosno 82,7% ili 479,26 € više nego prethodne godine.</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1. siječnja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Stanje 31. prosinca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181,86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397,1</w:t>
            </w:r>
          </w:p>
        </w:tc>
      </w:tr>
    </w:tbl>
    <w:p>
      <w:pPr>
        <w:spacing w:before="0" w:after="0"/>
      </w:pPr>
    </w:p>
    <w:p>
      <w:r>
        <w:t xml:space="preserve">Obveze za predujmove, depozite, jamčevne pologe i tuđe prihode ostvarene su u iznosu od 181,86 €, odnosno 297,1% ili  136,06 € više nego prethodne 2024. godine, odnosi ne na pretplatu prema dobavljaču Mozaik knjiga d.o.o.</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Povećanje obveza u izvještajnom razdoblju iznosi 318.419,47 €, a isto se sastoji od obveza za rashode poslovanja, obveza za nabavu nefinancijske imovine te obveza za predujmove, depozite, jamčevne pologe i tuđe prihode, te uvećano za početno stanje 01.01.2025. godine u iznosu od 13.340,50 € čini ukupno 331.759,97 € obveza. U izvještajnom razdoblju podmirene su obveze u ukupnom iznosu od 314.044,53 € te na kraju izvještajnog razdoblja tj. sa 31.12.2025. godine stanje obveza iznosi  17.715,44 €, a odnosi se na stanje nedospjelih obveza na kraju izvještajnog razdoblja od kojih obveze za rashode za plaće i drugi dohodak iznose 17.533,58 €, a obveze za predujmove, depozite, jamčevne pologe i tuđe prihode iznose 181,86 €.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5cd5329789574f97" /></Relationships>
</file>